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0B7285"/>
          <w:sz w:val="16"/>
          <w:szCs w:val="16"/>
        </w:rPr>
        <w:t xml:space="preserve">CADRAGE</w:t>
      </w:r>
    </w:p>
    <w:p>
      <w:pPr>
        <w:pStyle w:val="Title"/>
      </w:pPr>
      <w:r>
        <w:t xml:space="preserve">Cahier des charges</w:t>
      </w:r>
    </w:p>
    <w:p>
      <w:pPr>
        <w:spacing w:after="240"/>
      </w:pPr>
      <w:r>
        <w:rPr>
          <w:i/>
          <w:iCs/>
          <w:color w:val="6B7A87"/>
          <w:sz w:val="21"/>
          <w:szCs w:val="21"/>
        </w:rPr>
        <w:t xml:space="preserve">Le document de référence d'une consultation : le besoin exprimé en exigences vérifiables, sans imposer la solution.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1F5F6"/>
          </w:tcPr>
          <w:p>
            <w:r>
              <w:rPr>
                <w:b/>
                <w:bCs/>
                <w:sz w:val="20"/>
                <w:szCs w:val="20"/>
              </w:rPr>
              <w:t xml:space="preserve">Projet</w:t>
            </w:r>
          </w:p>
        </w:tc>
        <w:tc>
          <w:tcPr>
            <w:tcW w:type="pct" w:w="70%"/>
          </w:tcPr>
          <w:p>
            <w:r>
              <w:rPr>
                <w:i/>
                <w:iCs/>
                <w:color w:val="6B7A87"/>
                <w:sz w:val="20"/>
                <w:szCs w:val="20"/>
              </w:rPr>
              <w:t xml:space="preserve">à compléter</w:t>
            </w:r>
          </w:p>
        </w:tc>
      </w:tr>
      <w:tr>
        <w:tc>
          <w:tcPr>
            <w:tcW w:type="pct" w:w="30%"/>
            <w:shd w:fill="F1F5F6"/>
          </w:tcPr>
          <w:p>
            <w:r>
              <w:rPr>
                <w:b/>
                <w:bCs/>
                <w:sz w:val="20"/>
                <w:szCs w:val="20"/>
              </w:rPr>
              <w:t xml:space="preserve">Version</w:t>
            </w:r>
          </w:p>
        </w:tc>
        <w:tc>
          <w:tcPr>
            <w:tcW w:type="pct" w:w="70%"/>
          </w:tcPr>
          <w:p>
            <w:r>
              <w:rPr>
                <w:i/>
                <w:iCs/>
                <w:color w:val="6B7A87"/>
                <w:sz w:val="20"/>
                <w:szCs w:val="20"/>
              </w:rPr>
              <w:t xml:space="preserve">à compléter</w:t>
            </w:r>
          </w:p>
        </w:tc>
      </w:tr>
      <w:tr>
        <w:tc>
          <w:tcPr>
            <w:tcW w:type="pct" w:w="30%"/>
            <w:shd w:fill="F1F5F6"/>
          </w:tcPr>
          <w:p>
            <w:r>
              <w:rPr>
                <w:b/>
                <w:bCs/>
                <w:sz w:val="20"/>
                <w:szCs w:val="20"/>
              </w:rPr>
              <w:t xml:space="preserve">Date</w:t>
            </w:r>
          </w:p>
        </w:tc>
        <w:tc>
          <w:tcPr>
            <w:tcW w:type="pct" w:w="70%"/>
          </w:tcPr>
          <w:p>
            <w:r>
              <w:rPr>
                <w:i/>
                <w:iCs/>
                <w:color w:val="6B7A87"/>
                <w:sz w:val="20"/>
                <w:szCs w:val="20"/>
              </w:rPr>
              <w:t xml:space="preserve">à compléter</w:t>
            </w:r>
          </w:p>
        </w:tc>
      </w:tr>
      <w:tr>
        <w:tc>
          <w:tcPr>
            <w:tcW w:type="pct" w:w="30%"/>
            <w:shd w:fill="F1F5F6"/>
          </w:tcPr>
          <w:p>
            <w:r>
              <w:rPr>
                <w:b/>
                <w:bCs/>
                <w:sz w:val="20"/>
                <w:szCs w:val="20"/>
              </w:rPr>
              <w:t xml:space="preserve">Auteur</w:t>
            </w:r>
          </w:p>
        </w:tc>
        <w:tc>
          <w:tcPr>
            <w:tcW w:type="pct" w:w="70%"/>
          </w:tcPr>
          <w:p>
            <w:r>
              <w:rPr>
                <w:i/>
                <w:iCs/>
                <w:color w:val="6B7A87"/>
                <w:sz w:val="20"/>
                <w:szCs w:val="20"/>
              </w:rPr>
              <w:t xml:space="preserve">à compléter</w:t>
            </w:r>
          </w:p>
        </w:tc>
      </w:tr>
      <w:tr>
        <w:tc>
          <w:tcPr>
            <w:tcW w:type="pct" w:w="30%"/>
            <w:shd w:fill="F1F5F6"/>
          </w:tcPr>
          <w:p>
            <w:r>
              <w:rPr>
                <w:b/>
                <w:bCs/>
                <w:sz w:val="20"/>
                <w:szCs w:val="20"/>
              </w:rPr>
              <w:t xml:space="preserve">Rédigé par</w:t>
            </w:r>
          </w:p>
        </w:tc>
        <w:tc>
          <w:tcPr>
            <w:tcW w:type="pct" w:w="70%"/>
          </w:tcPr>
          <w:p>
            <w:r>
              <w:rPr>
                <w:i w:val="false"/>
                <w:iCs w:val="false"/>
                <w:color w:val="000000"/>
                <w:sz w:val="20"/>
                <w:szCs w:val="20"/>
              </w:rPr>
              <w:t xml:space="preserve">MOA / direction métier</w:t>
            </w:r>
          </w:p>
        </w:tc>
      </w:tr>
      <w:tr>
        <w:tc>
          <w:tcPr>
            <w:tcW w:type="pct" w:w="30%"/>
            <w:shd w:fill="F1F5F6"/>
          </w:tcPr>
          <w:p>
            <w:r>
              <w:rPr>
                <w:b/>
                <w:bCs/>
                <w:sz w:val="20"/>
                <w:szCs w:val="20"/>
              </w:rPr>
              <w:t xml:space="preserve">Destinataires</w:t>
            </w:r>
          </w:p>
        </w:tc>
        <w:tc>
          <w:tcPr>
            <w:tcW w:type="pct" w:w="70%"/>
          </w:tcPr>
          <w:p>
            <w:r>
              <w:rPr>
                <w:i w:val="false"/>
                <w:iCs w:val="false"/>
                <w:color w:val="000000"/>
                <w:sz w:val="20"/>
                <w:szCs w:val="20"/>
              </w:rPr>
              <w:t xml:space="preserve">Fournisseurs consultés, MOE, juridique, achats</w:t>
            </w:r>
          </w:p>
        </w:tc>
      </w:tr>
      <w:tr>
        <w:tc>
          <w:tcPr>
            <w:tcW w:type="pct" w:w="30%"/>
            <w:shd w:fill="F1F5F6"/>
          </w:tcPr>
          <w:p>
            <w:r>
              <w:rPr>
                <w:b/>
                <w:bCs/>
                <w:sz w:val="20"/>
                <w:szCs w:val="20"/>
              </w:rPr>
              <w:t xml:space="preserve">Statut</w:t>
            </w:r>
          </w:p>
        </w:tc>
        <w:tc>
          <w:tcPr>
            <w:tcW w:type="pct" w:w="70%"/>
          </w:tcPr>
          <w:p>
            <w:r>
              <w:rPr>
                <w:i w:val="false"/>
                <w:iCs w:val="false"/>
                <w:color w:val="000000"/>
                <w:sz w:val="20"/>
                <w:szCs w:val="20"/>
              </w:rPr>
              <w:t xml:space="preserve">Brouillon / En relecture / Validé</w:t>
            </w:r>
          </w:p>
        </w:tc>
      </w:tr>
    </w:tbl>
    <w:p>
      <w:pPr>
        <w:spacing w:after="240"/>
      </w:pPr>
    </w:p>
    <w:p>
      <w:pPr>
        <w:pStyle w:val="Heading1"/>
        <w:spacing w:after="60" w:before="320"/>
      </w:pPr>
      <w:r>
        <w:rPr>
          <w:color w:val="101820"/>
        </w:rPr>
        <w:t xml:space="preserve">1. Présentation du demandeur</w:t>
      </w:r>
    </w:p>
    <w:p>
      <w:pPr>
        <w:spacing w:after="80" w:before="60"/>
      </w:pPr>
      <w:r>
        <w:rPr>
          <w:i/>
          <w:iCs/>
          <w:color w:val="6B7A87"/>
          <w:sz w:val="19"/>
          <w:szCs w:val="19"/>
        </w:rPr>
        <w:t xml:space="preserve">Le contexte de l'organisation, ce qui aide un tiers à dimensionner sa réponse.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Activité, taille, organisation, implantations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Paysage applicatif existant et systèmes concernés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Historique du sujet : ce qui a déjà été tenté</w:t>
      </w:r>
    </w:p>
    <w:p>
      <w:pPr>
        <w:pBdr>
          <w:top w:val="single" w:color="DDE5E8" w:sz="4"/>
          <w:bottom w:val="single" w:color="DDE5E8" w:sz="4"/>
          <w:left w:val="single" w:color="DDE5E8" w:sz="4"/>
          <w:right w:val="single" w:color="DDE5E8" w:sz="4"/>
        </w:pBdr>
        <w:spacing w:after="240" w:before="120"/>
      </w:pPr>
      <w:r>
        <w:rPr>
          <w:color w:val="AAB4BC"/>
          <w:sz w:val="19"/>
          <w:szCs w:val="19"/>
        </w:rPr>
        <w:t xml:space="preserve">[ à compléter ]</w:t>
      </w:r>
    </w:p>
    <w:p>
      <w:pPr>
        <w:pStyle w:val="Heading1"/>
        <w:spacing w:after="60" w:before="320"/>
      </w:pPr>
      <w:r>
        <w:rPr>
          <w:color w:val="101820"/>
        </w:rPr>
        <w:t xml:space="preserve">2. Objet de la consultation</w:t>
      </w:r>
    </w:p>
    <w:p>
      <w:pPr>
        <w:spacing w:after="80" w:before="60"/>
      </w:pPr>
      <w:r>
        <w:rPr>
          <w:i/>
          <w:iCs/>
          <w:color w:val="6B7A87"/>
          <w:sz w:val="19"/>
          <w:szCs w:val="19"/>
        </w:rPr>
        <w:t xml:space="preserve">Ce qui est demandé, en un paragraphe compréhensible hors contexte.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Nature de la prestation attendue (projet, TMA, licence, forfait, assistance)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Résultat attendu et échéance cible</w:t>
      </w:r>
    </w:p>
    <w:p>
      <w:pPr>
        <w:pBdr>
          <w:top w:val="single" w:color="DDE5E8" w:sz="4"/>
          <w:bottom w:val="single" w:color="DDE5E8" w:sz="4"/>
          <w:left w:val="single" w:color="DDE5E8" w:sz="4"/>
          <w:right w:val="single" w:color="DDE5E8" w:sz="4"/>
        </w:pBdr>
        <w:spacing w:after="240" w:before="120"/>
      </w:pPr>
      <w:r>
        <w:rPr>
          <w:color w:val="AAB4BC"/>
          <w:sz w:val="19"/>
          <w:szCs w:val="19"/>
        </w:rPr>
        <w:t xml:space="preserve">[ à compléter ]</w:t>
      </w:r>
    </w:p>
    <w:p>
      <w:pPr>
        <w:pStyle w:val="Heading1"/>
        <w:spacing w:after="60" w:before="320"/>
      </w:pPr>
      <w:r>
        <w:rPr>
          <w:color w:val="101820"/>
        </w:rPr>
        <w:t xml:space="preserve">3. Périmètre</w:t>
      </w:r>
    </w:p>
    <w:p>
      <w:pPr>
        <w:spacing w:after="80" w:before="60"/>
      </w:pPr>
      <w:r>
        <w:rPr>
          <w:i/>
          <w:iCs/>
          <w:color w:val="6B7A87"/>
          <w:sz w:val="19"/>
          <w:szCs w:val="19"/>
        </w:rPr>
        <w:t xml:space="preserve">La délimitation fonctionnelle et technique, dans les deux sens.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Processus, entités, flux et applications inclus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Exclusions explicites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Volumétries : nombre de flux, de sources, de lignes, fréquences</w:t>
      </w:r>
    </w:p>
    <w:p>
      <w:pPr>
        <w:pBdr>
          <w:top w:val="single" w:color="DDE5E8" w:sz="4"/>
          <w:bottom w:val="single" w:color="DDE5E8" w:sz="4"/>
          <w:left w:val="single" w:color="DDE5E8" w:sz="4"/>
          <w:right w:val="single" w:color="DDE5E8" w:sz="4"/>
        </w:pBdr>
        <w:spacing w:after="240" w:before="120"/>
      </w:pPr>
      <w:r>
        <w:rPr>
          <w:color w:val="AAB4BC"/>
          <w:sz w:val="19"/>
          <w:szCs w:val="19"/>
        </w:rPr>
        <w:t xml:space="preserve">[ à compléter ]</w:t>
      </w:r>
    </w:p>
    <w:p>
      <w:pPr>
        <w:pStyle w:val="Heading1"/>
        <w:spacing w:after="60" w:before="320"/>
      </w:pPr>
      <w:r>
        <w:rPr>
          <w:color w:val="101820"/>
        </w:rPr>
        <w:t xml:space="preserve">4. Exigences fonctionnelles</w:t>
      </w:r>
    </w:p>
    <w:p>
      <w:pPr>
        <w:spacing w:after="80" w:before="60"/>
      </w:pPr>
      <w:r>
        <w:rPr>
          <w:i/>
          <w:iCs/>
          <w:color w:val="6B7A87"/>
          <w:sz w:val="19"/>
          <w:szCs w:val="19"/>
        </w:rPr>
        <w:t xml:space="preserve">Ce que le système doit faire. Une exigence par ligne, numérotée, vérifiable.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Identifiant unique et stable (EF-001), repris ensuite dans la recette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Formulation vérifiable : on doit pouvoir écrire le test qui prouve qu'elle est tenue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Priorité affectée (obligatoire, souhaitée, optionnelle)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Règles de gestion associées</w:t>
      </w:r>
    </w:p>
    <w:p>
      <w:pPr>
        <w:pBdr>
          <w:top w:val="single" w:color="DDE5E8" w:sz="4"/>
          <w:bottom w:val="single" w:color="DDE5E8" w:sz="4"/>
          <w:left w:val="single" w:color="DDE5E8" w:sz="4"/>
          <w:right w:val="single" w:color="DDE5E8" w:sz="4"/>
        </w:pBdr>
        <w:spacing w:after="240" w:before="120"/>
      </w:pPr>
      <w:r>
        <w:rPr>
          <w:color w:val="AAB4BC"/>
          <w:sz w:val="19"/>
          <w:szCs w:val="19"/>
        </w:rPr>
        <w:t xml:space="preserve">[ à compléter ]</w:t>
      </w:r>
    </w:p>
    <w:p>
      <w:pPr>
        <w:pStyle w:val="Heading1"/>
        <w:spacing w:after="60" w:before="320"/>
      </w:pPr>
      <w:r>
        <w:rPr>
          <w:color w:val="101820"/>
        </w:rPr>
        <w:t xml:space="preserve">5. Exigences non fonctionnelles</w:t>
      </w:r>
    </w:p>
    <w:p>
      <w:pPr>
        <w:spacing w:after="80" w:before="60"/>
      </w:pPr>
      <w:r>
        <w:rPr>
          <w:i/>
          <w:iCs/>
          <w:color w:val="6B7A87"/>
          <w:sz w:val="19"/>
          <w:szCs w:val="19"/>
        </w:rPr>
        <w:t xml:space="preserve">Les qualités attendues du système, chiffrées, pas qualitatives.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Performance : temps de traitement, débit, fenêtre de traitement disponible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Disponibilité et engagements de service attendus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Sécurité : authentification, habilitations, chiffrement, traçabilité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Conformité RGPD : données personnelles traitées, durées de conservation, sous-traitance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Exploitabilité, supervision, reprise sur incident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Scalabilité : volumétrie à horizon trois ans</w:t>
      </w:r>
    </w:p>
    <w:p>
      <w:pPr>
        <w:pBdr>
          <w:top w:val="single" w:color="DDE5E8" w:sz="4"/>
          <w:bottom w:val="single" w:color="DDE5E8" w:sz="4"/>
          <w:left w:val="single" w:color="DDE5E8" w:sz="4"/>
          <w:right w:val="single" w:color="DDE5E8" w:sz="4"/>
        </w:pBdr>
        <w:spacing w:after="240" w:before="120"/>
      </w:pPr>
      <w:r>
        <w:rPr>
          <w:color w:val="AAB4BC"/>
          <w:sz w:val="19"/>
          <w:szCs w:val="19"/>
        </w:rPr>
        <w:t xml:space="preserve">[ à compléter ]</w:t>
      </w:r>
    </w:p>
    <w:p>
      <w:pPr>
        <w:pStyle w:val="Heading1"/>
        <w:spacing w:after="60" w:before="320"/>
      </w:pPr>
      <w:r>
        <w:rPr>
          <w:color w:val="101820"/>
        </w:rPr>
        <w:t xml:space="preserve">6. Contraintes</w:t>
      </w:r>
    </w:p>
    <w:p>
      <w:pPr>
        <w:spacing w:after="80" w:before="60"/>
      </w:pPr>
      <w:r>
        <w:rPr>
          <w:i/>
          <w:iCs/>
          <w:color w:val="6B7A87"/>
          <w:sz w:val="19"/>
          <w:szCs w:val="19"/>
        </w:rPr>
        <w:t xml:space="preserve">Ce que le fournisseur doit prendre comme donné, même s'il ferait autrement.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Techniques : socle imposé, hébergement, environnements, référentiels internes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Organisationnelles : lieux d'intervention, langue, plages de disponibilité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Réglementaires et sectorielles</w:t>
      </w:r>
    </w:p>
    <w:p>
      <w:pPr>
        <w:pBdr>
          <w:top w:val="single" w:color="DDE5E8" w:sz="4"/>
          <w:bottom w:val="single" w:color="DDE5E8" w:sz="4"/>
          <w:left w:val="single" w:color="DDE5E8" w:sz="4"/>
          <w:right w:val="single" w:color="DDE5E8" w:sz="4"/>
        </w:pBdr>
        <w:spacing w:after="240" w:before="120"/>
      </w:pPr>
      <w:r>
        <w:rPr>
          <w:color w:val="AAB4BC"/>
          <w:sz w:val="19"/>
          <w:szCs w:val="19"/>
        </w:rPr>
        <w:t xml:space="preserve">[ à compléter ]</w:t>
      </w:r>
    </w:p>
    <w:p>
      <w:pPr>
        <w:pStyle w:val="Heading1"/>
        <w:spacing w:after="60" w:before="320"/>
      </w:pPr>
      <w:r>
        <w:rPr>
          <w:color w:val="101820"/>
        </w:rPr>
        <w:t xml:space="preserve">7. Prestations attendues</w:t>
      </w:r>
    </w:p>
    <w:p>
      <w:pPr>
        <w:spacing w:after="80" w:before="60"/>
      </w:pPr>
      <w:r>
        <w:rPr>
          <w:i/>
          <w:iCs/>
          <w:color w:val="6B7A87"/>
          <w:sz w:val="19"/>
          <w:szCs w:val="19"/>
        </w:rPr>
        <w:t xml:space="preserve">Le travail demandé au-delà du logiciel lui-même.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Conception, développement, reprise de données, intégration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Documentation attendue et formats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Formation, transfert de compétences, accompagnement au démarrage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Garantie et maintenance : durée, périmètre, engagements</w:t>
      </w:r>
    </w:p>
    <w:p>
      <w:pPr>
        <w:pBdr>
          <w:top w:val="single" w:color="DDE5E8" w:sz="4"/>
          <w:bottom w:val="single" w:color="DDE5E8" w:sz="4"/>
          <w:left w:val="single" w:color="DDE5E8" w:sz="4"/>
          <w:right w:val="single" w:color="DDE5E8" w:sz="4"/>
        </w:pBdr>
        <w:spacing w:after="240" w:before="120"/>
      </w:pPr>
      <w:r>
        <w:rPr>
          <w:color w:val="AAB4BC"/>
          <w:sz w:val="19"/>
          <w:szCs w:val="19"/>
        </w:rPr>
        <w:t xml:space="preserve">[ à compléter ]</w:t>
      </w:r>
    </w:p>
    <w:p>
      <w:pPr>
        <w:pStyle w:val="Heading1"/>
        <w:spacing w:after="60" w:before="320"/>
      </w:pPr>
      <w:r>
        <w:rPr>
          <w:color w:val="101820"/>
        </w:rPr>
        <w:t xml:space="preserve">8. Modalités de réponse</w:t>
      </w:r>
    </w:p>
    <w:p>
      <w:pPr>
        <w:spacing w:after="80" w:before="60"/>
      </w:pPr>
      <w:r>
        <w:rPr>
          <w:i/>
          <w:iCs/>
          <w:color w:val="6B7A87"/>
          <w:sz w:val="19"/>
          <w:szCs w:val="19"/>
        </w:rPr>
        <w:t xml:space="preserve">Le cadre imposé aux réponses pour pouvoir les comparer.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Plan de réponse imposé et pièces attendues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Grille de chiffrage à remplir (structure identique pour tous)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Critères de sélection et pondération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Calendrier de la consultation et date limite</w:t>
      </w:r>
    </w:p>
    <w:p>
      <w:pPr>
        <w:pBdr>
          <w:top w:val="single" w:color="DDE5E8" w:sz="4"/>
          <w:bottom w:val="single" w:color="DDE5E8" w:sz="4"/>
          <w:left w:val="single" w:color="DDE5E8" w:sz="4"/>
          <w:right w:val="single" w:color="DDE5E8" w:sz="4"/>
        </w:pBdr>
        <w:spacing w:after="240" w:before="120"/>
      </w:pPr>
      <w:r>
        <w:rPr>
          <w:color w:val="AAB4BC"/>
          <w:sz w:val="19"/>
          <w:szCs w:val="19"/>
        </w:rPr>
        <w:t xml:space="preserve">[ à compléter ]</w:t>
      </w:r>
    </w:p>
    <w:p>
      <w:pPr>
        <w:pStyle w:val="Heading1"/>
        <w:spacing w:after="60" w:before="320"/>
      </w:pPr>
      <w:r>
        <w:rPr>
          <w:color w:val="101820"/>
        </w:rPr>
        <w:t xml:space="preserve">9. Annexes</w:t>
      </w:r>
    </w:p>
    <w:p>
      <w:pPr>
        <w:spacing w:after="80" w:before="60"/>
      </w:pPr>
      <w:r>
        <w:rPr>
          <w:i/>
          <w:iCs/>
          <w:color w:val="6B7A87"/>
          <w:sz w:val="19"/>
          <w:szCs w:val="19"/>
        </w:rPr>
        <w:t xml:space="preserve">Ce qui alourdirait le corps du document mais reste nécessaire.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Cartographie applicative et schémas de flux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Dictionnaire de données et formats de fichiers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Modèles de documents internes à respecter</w:t>
      </w:r>
    </w:p>
    <w:p>
      <w:pPr>
        <w:pBdr>
          <w:top w:val="single" w:color="DDE5E8" w:sz="4"/>
          <w:bottom w:val="single" w:color="DDE5E8" w:sz="4"/>
          <w:left w:val="single" w:color="DDE5E8" w:sz="4"/>
          <w:right w:val="single" w:color="DDE5E8" w:sz="4"/>
        </w:pBdr>
        <w:spacing w:after="240" w:before="120"/>
      </w:pPr>
      <w:r>
        <w:rPr>
          <w:color w:val="AAB4BC"/>
          <w:sz w:val="19"/>
          <w:szCs w:val="19"/>
        </w:rPr>
        <w:t xml:space="preserve">[ à compléter ]</w:t>
      </w:r>
    </w:p>
    <w:p>
      <w:pPr>
        <w:pStyle w:val="Heading1"/>
        <w:pageBreakBefore/>
        <w:spacing w:after="120"/>
      </w:pPr>
      <w:r>
        <w:rPr>
          <w:color w:val="0B7285"/>
        </w:rPr>
        <w:t xml:space="preserve">Notes de rédaction</w:t>
      </w:r>
    </w:p>
    <w:p>
      <w:pPr>
        <w:spacing w:after="160"/>
      </w:pPr>
      <w:r>
        <w:rPr>
          <w:i/>
          <w:iCs/>
          <w:color w:val="6B7A87"/>
          <w:sz w:val="19"/>
          <w:szCs w:val="19"/>
        </w:rPr>
        <w:t xml:space="preserve">Cette page est un aide-mémoire. Supprimez-la avant diffusion du document.</w:t>
      </w:r>
    </w:p>
    <w:p>
      <w:pPr>
        <w:pStyle w:val="Heading2"/>
      </w:pPr>
      <w:r>
        <w:t xml:space="preserve">Quand produire ce document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Pour toute consultation de fournisseurs ou appel d'offres.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Quand la réalisation est confiée à une équipe qui n'a pas participé au cadrage.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Pour un projet à enjeu contractuel, où le périmètre livré devra être opposable.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Quand le besoin implique plusieurs directions et doit être arbitré avant consultation.</w:t>
      </w:r>
    </w:p>
    <w:p>
      <w:pPr>
        <w:pStyle w:val="Heading2"/>
        <w:spacing w:before="240"/>
      </w:pPr>
      <w:r>
        <w:t xml:space="preserve">Erreurs les plus fréquentes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Décrire la solution au lieu du besoin. « Un job Talend qui lit un CSV » ferme la porte à toute autre approche ; « intégrer quotidiennement les commandes du portail fournisseur » laisse le fournisseur proposer.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Écrire des exigences invérifiables. « Le système doit être rapide » ne se recette pas ; « le traitement quotidien s'exécute en moins de 30 minutes pour 2 millions de lignes » se recette.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Oublier les volumétries. C'est le premier facteur de dérive de chiffrage, et le premier reproche des fournisseurs après coup.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Ne pas prioriser les exigences. Sans priorité, tout est obligatoire, tout est chiffré au maximum, et le budget explose avant la première ligne de code.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Numéroter les exigences après coup. Les identifiants doivent être posés dès la rédaction : ils servent de fil conducteur jusqu'au PV de recette.</w:t>
      </w:r>
    </w:p>
    <w:p>
      <w:pPr>
        <w:pStyle w:val="Heading2"/>
        <w:spacing w:before="240"/>
      </w:pPr>
      <w:r>
        <w:t xml:space="preserve">Référentiel de rattachement</w:t>
      </w:r>
    </w:p>
    <w:p>
      <w:pPr>
        <w:spacing w:after="120"/>
      </w:pPr>
      <w:r>
        <w:rPr>
          <w:b/>
          <w:bCs/>
          <w:sz w:val="19"/>
          <w:szCs w:val="19"/>
        </w:rPr>
        <w:t xml:space="preserve">ISO/IEC/IEEE 29148 (ingénierie des exigences)</w:t>
      </w:r>
      <w:r>
        <w:rPr>
          <w:color w:val="6B7A87"/>
          <w:sz w:val="19"/>
          <w:szCs w:val="19"/>
        </w:rPr>
        <w:t xml:space="preserve"> La norme définit les caractéristiques d'une exigence exploitable : non ambiguë, vérifiable, traçable, réaliste, et énoncée une seule fois. Le plan ci-dessous applique ces critères à un cahier des charges SI classique.</w:t>
      </w:r>
    </w:p>
    <w:p>
      <w:pPr>
        <w:spacing w:before="320"/>
      </w:pPr>
      <w:r>
        <w:rPr>
          <w:color w:val="6B7A87"/>
          <w:sz w:val="18"/>
          <w:szCs w:val="18"/>
        </w:rPr>
        <w:t xml:space="preserve">Modèle « CdC - Cahier des charges », publié par DataALC.</w:t>
      </w:r>
    </w:p>
    <w:p>
      <w:r>
        <w:rPr>
          <w:color w:val="6B7A87"/>
          <w:sz w:val="18"/>
          <w:szCs w:val="18"/>
        </w:rPr>
        <w:t xml:space="preserve">Version en ligne, commentée : https://www.dataalc.com/boite-a-outils/templates/cahier-des-charges/</w:t>
      </w:r>
    </w:p>
    <w:p>
      <w:pPr>
        <w:spacing w:before="120"/>
      </w:pPr>
      <w:r>
        <w:rPr>
          <w:i/>
          <w:iCs/>
          <w:color w:val="6B7A87"/>
          <w:sz w:val="18"/>
          <w:szCs w:val="18"/>
        </w:rPr>
        <w:t xml:space="preserve">Adaptez ce modèle à votre contexte : supprimez les rubriques sans objet plutôt que de les laisser vides.</w:t>
      </w:r>
    </w:p>
    <w:sectPr>
      <w:footerReference w:type="default" r:id="rId7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6B7A87"/>
        <w:sz w:val="16"/>
        <w:szCs w:val="16"/>
      </w:rPr>
      <w:t xml:space="preserve">Cahier des charges  |  </w:t>
    </w:r>
    <w:r>
      <w:rPr>
        <w:color w:val="6B7A87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6B7A87"/>
        <w:sz w:val="16"/>
        <w:szCs w:val="16"/>
      </w:rPr>
      <w:t xml:space="preserve"> / </w:t>
    </w:r>
    <w:r>
      <w:rPr>
        <w:color w:val="6B7A87"/>
        <w:sz w:val="16"/>
        <w:szCs w:val="16"/>
      </w:rPr>
      <w:fldChar w:fldCharType="begin"/>
      <w:instrText xml:space="preserve">NUMPAGES</w:instrText>
      <w:fldChar w:fldCharType="separate"/>
      <w:fldChar w:fldCharType="end"/>
    </w:r>
    <w:r>
      <w:rPr>
        <w:color w:val="6B7A87"/>
        <w:sz w:val="16"/>
        <w:szCs w:val="16"/>
      </w:rPr>
      <w:t xml:space="preserve">  |  dataalc.com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Cahier des charges</dc:title>
  <dc:creator>DataALC</dc:creator>
  <dc:description>Le document de référence d'une consultation : le besoin exprimé en exigences vérifiables, sans imposer la solution.</dc:description>
  <cp:lastModifiedBy>Un-named</cp:lastModifiedBy>
  <cp:revision>1</cp:revision>
  <dcterms:created xsi:type="dcterms:W3CDTF">2026-08-01T20:05:15.155Z</dcterms:created>
  <dcterms:modified xsi:type="dcterms:W3CDTF">2026-08-01T20:05:15.155Z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