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</w:pPr>
      <w:r>
        <w:rPr>
          <w:b/>
          <w:bCs/>
          <w:color w:val="0B7285"/>
          <w:sz w:val="16"/>
          <w:szCs w:val="16"/>
        </w:rPr>
        <w:t xml:space="preserve">CONCEPTION TECHNIQUE</w:t>
      </w:r>
    </w:p>
    <w:p>
      <w:pPr>
        <w:pStyle w:val="Title"/>
      </w:pPr>
      <w:r>
        <w:t xml:space="preserve">Dossier d'Architecture Technique</w:t>
      </w:r>
    </w:p>
    <w:p>
      <w:pPr>
        <w:spacing w:after="240"/>
      </w:pPr>
      <w:r>
        <w:rPr>
          <w:i/>
          <w:iCs/>
          <w:color w:val="6B7A87"/>
          <w:sz w:val="21"/>
          <w:szCs w:val="21"/>
        </w:rPr>
        <w:t xml:space="preserve">La traduction technique de la cible fonctionnelle : composants, flux, infrastructure, sécurité, et les décisions qui les expliquent.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pct" w:w="30%"/>
            <w:shd w:fill="F1F5F6"/>
          </w:tcPr>
          <w:p>
            <w:r>
              <w:rPr>
                <w:b/>
                <w:bCs/>
                <w:sz w:val="20"/>
                <w:szCs w:val="20"/>
              </w:rPr>
              <w:t xml:space="preserve">Projet</w:t>
            </w:r>
          </w:p>
        </w:tc>
        <w:tc>
          <w:tcPr>
            <w:tcW w:type="pct" w:w="70%"/>
          </w:tcPr>
          <w:p>
            <w:r>
              <w:rPr>
                <w:i/>
                <w:iCs/>
                <w:color w:val="6B7A87"/>
                <w:sz w:val="20"/>
                <w:szCs w:val="20"/>
              </w:rPr>
              <w:t xml:space="preserve">à compléter</w:t>
            </w:r>
          </w:p>
        </w:tc>
      </w:tr>
      <w:tr>
        <w:tc>
          <w:tcPr>
            <w:tcW w:type="pct" w:w="30%"/>
            <w:shd w:fill="F1F5F6"/>
          </w:tcPr>
          <w:p>
            <w:r>
              <w:rPr>
                <w:b/>
                <w:bCs/>
                <w:sz w:val="20"/>
                <w:szCs w:val="20"/>
              </w:rPr>
              <w:t xml:space="preserve">Version</w:t>
            </w:r>
          </w:p>
        </w:tc>
        <w:tc>
          <w:tcPr>
            <w:tcW w:type="pct" w:w="70%"/>
          </w:tcPr>
          <w:p>
            <w:r>
              <w:rPr>
                <w:i/>
                <w:iCs/>
                <w:color w:val="6B7A87"/>
                <w:sz w:val="20"/>
                <w:szCs w:val="20"/>
              </w:rPr>
              <w:t xml:space="preserve">à compléter</w:t>
            </w:r>
          </w:p>
        </w:tc>
      </w:tr>
      <w:tr>
        <w:tc>
          <w:tcPr>
            <w:tcW w:type="pct" w:w="30%"/>
            <w:shd w:fill="F1F5F6"/>
          </w:tcPr>
          <w:p>
            <w:r>
              <w:rPr>
                <w:b/>
                <w:bCs/>
                <w:sz w:val="20"/>
                <w:szCs w:val="20"/>
              </w:rPr>
              <w:t xml:space="preserve">Date</w:t>
            </w:r>
          </w:p>
        </w:tc>
        <w:tc>
          <w:tcPr>
            <w:tcW w:type="pct" w:w="70%"/>
          </w:tcPr>
          <w:p>
            <w:r>
              <w:rPr>
                <w:i/>
                <w:iCs/>
                <w:color w:val="6B7A87"/>
                <w:sz w:val="20"/>
                <w:szCs w:val="20"/>
              </w:rPr>
              <w:t xml:space="preserve">à compléter</w:t>
            </w:r>
          </w:p>
        </w:tc>
      </w:tr>
      <w:tr>
        <w:tc>
          <w:tcPr>
            <w:tcW w:type="pct" w:w="30%"/>
            <w:shd w:fill="F1F5F6"/>
          </w:tcPr>
          <w:p>
            <w:r>
              <w:rPr>
                <w:b/>
                <w:bCs/>
                <w:sz w:val="20"/>
                <w:szCs w:val="20"/>
              </w:rPr>
              <w:t xml:space="preserve">Auteur</w:t>
            </w:r>
          </w:p>
        </w:tc>
        <w:tc>
          <w:tcPr>
            <w:tcW w:type="pct" w:w="70%"/>
          </w:tcPr>
          <w:p>
            <w:r>
              <w:rPr>
                <w:i/>
                <w:iCs/>
                <w:color w:val="6B7A87"/>
                <w:sz w:val="20"/>
                <w:szCs w:val="20"/>
              </w:rPr>
              <w:t xml:space="preserve">à compléter</w:t>
            </w:r>
          </w:p>
        </w:tc>
      </w:tr>
      <w:tr>
        <w:tc>
          <w:tcPr>
            <w:tcW w:type="pct" w:w="30%"/>
            <w:shd w:fill="F1F5F6"/>
          </w:tcPr>
          <w:p>
            <w:r>
              <w:rPr>
                <w:b/>
                <w:bCs/>
                <w:sz w:val="20"/>
                <w:szCs w:val="20"/>
              </w:rPr>
              <w:t xml:space="preserve">Rédigé par</w:t>
            </w:r>
          </w:p>
        </w:tc>
        <w:tc>
          <w:tcPr>
            <w:tcW w:type="pct" w:w="70%"/>
          </w:tcPr>
          <w:p>
            <w:r>
              <w:rPr>
                <w:i w:val="false"/>
                <w:iCs w:val="false"/>
                <w:color w:val="000000"/>
                <w:sz w:val="20"/>
                <w:szCs w:val="20"/>
              </w:rPr>
              <w:t xml:space="preserve">Architecte / MOE</w:t>
            </w:r>
          </w:p>
        </w:tc>
      </w:tr>
      <w:tr>
        <w:tc>
          <w:tcPr>
            <w:tcW w:type="pct" w:w="30%"/>
            <w:shd w:fill="F1F5F6"/>
          </w:tcPr>
          <w:p>
            <w:r>
              <w:rPr>
                <w:b/>
                <w:bCs/>
                <w:sz w:val="20"/>
                <w:szCs w:val="20"/>
              </w:rPr>
              <w:t xml:space="preserve">Destinataires</w:t>
            </w:r>
          </w:p>
        </w:tc>
        <w:tc>
          <w:tcPr>
            <w:tcW w:type="pct" w:w="70%"/>
          </w:tcPr>
          <w:p>
            <w:r>
              <w:rPr>
                <w:i w:val="false"/>
                <w:iCs w:val="false"/>
                <w:color w:val="000000"/>
                <w:sz w:val="20"/>
                <w:szCs w:val="20"/>
              </w:rPr>
              <w:t xml:space="preserve">MOE, exploitation, sécurité, DSI</w:t>
            </w:r>
          </w:p>
        </w:tc>
      </w:tr>
      <w:tr>
        <w:tc>
          <w:tcPr>
            <w:tcW w:type="pct" w:w="30%"/>
            <w:shd w:fill="F1F5F6"/>
          </w:tcPr>
          <w:p>
            <w:r>
              <w:rPr>
                <w:b/>
                <w:bCs/>
                <w:sz w:val="20"/>
                <w:szCs w:val="20"/>
              </w:rPr>
              <w:t xml:space="preserve">Statut</w:t>
            </w:r>
          </w:p>
        </w:tc>
        <w:tc>
          <w:tcPr>
            <w:tcW w:type="pct" w:w="70%"/>
          </w:tcPr>
          <w:p>
            <w:r>
              <w:rPr>
                <w:i w:val="false"/>
                <w:iCs w:val="false"/>
                <w:color w:val="000000"/>
                <w:sz w:val="20"/>
                <w:szCs w:val="20"/>
              </w:rPr>
              <w:t xml:space="preserve">Brouillon / En relecture / Validé</w:t>
            </w:r>
          </w:p>
        </w:tc>
      </w:tr>
    </w:tbl>
    <w:p>
      <w:pPr>
        <w:spacing w:after="240"/>
      </w:pPr>
    </w:p>
    <w:p>
      <w:pPr>
        <w:pStyle w:val="Heading1"/>
        <w:spacing w:after="60" w:before="320"/>
      </w:pPr>
      <w:r>
        <w:rPr>
          <w:color w:val="101820"/>
        </w:rPr>
        <w:t xml:space="preserve">1. Objet et périmètre du document</w:t>
      </w:r>
    </w:p>
    <w:p>
      <w:pPr>
        <w:spacing w:after="80" w:before="60"/>
      </w:pPr>
      <w:r>
        <w:rPr>
          <w:i/>
          <w:iCs/>
          <w:color w:val="6B7A87"/>
          <w:sz w:val="19"/>
          <w:szCs w:val="19"/>
        </w:rPr>
        <w:t xml:space="preserve">Ce que couvre le DAT, ce qu'il ne couvre pas, et à qui il s'adresse.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color w:val="6B7A87"/>
          <w:sz w:val="19"/>
          <w:szCs w:val="19"/>
        </w:rPr>
        <w:t xml:space="preserve">Solution décrite et version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color w:val="6B7A87"/>
          <w:sz w:val="19"/>
          <w:szCs w:val="19"/>
        </w:rPr>
        <w:t xml:space="preserve">Documents de référence (SFG, SFD, cahier des charges)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color w:val="6B7A87"/>
          <w:sz w:val="19"/>
          <w:szCs w:val="19"/>
        </w:rPr>
        <w:t xml:space="preserve">Public visé</w:t>
      </w:r>
    </w:p>
    <w:p>
      <w:pPr>
        <w:pBdr>
          <w:top w:val="single" w:color="DDE5E8" w:sz="4"/>
          <w:bottom w:val="single" w:color="DDE5E8" w:sz="4"/>
          <w:left w:val="single" w:color="DDE5E8" w:sz="4"/>
          <w:right w:val="single" w:color="DDE5E8" w:sz="4"/>
        </w:pBdr>
        <w:spacing w:after="240" w:before="120"/>
      </w:pPr>
      <w:r>
        <w:rPr>
          <w:color w:val="AAB4BC"/>
          <w:sz w:val="19"/>
          <w:szCs w:val="19"/>
        </w:rPr>
        <w:t xml:space="preserve">[ à compléter ]</w:t>
      </w:r>
    </w:p>
    <w:p>
      <w:pPr>
        <w:pStyle w:val="Heading1"/>
        <w:spacing w:after="60" w:before="320"/>
      </w:pPr>
      <w:r>
        <w:rPr>
          <w:color w:val="101820"/>
        </w:rPr>
        <w:t xml:space="preserve">2. Contraintes et exigences architecturales</w:t>
      </w:r>
    </w:p>
    <w:p>
      <w:pPr>
        <w:spacing w:after="80" w:before="60"/>
      </w:pPr>
      <w:r>
        <w:rPr>
          <w:i/>
          <w:iCs/>
          <w:color w:val="6B7A87"/>
          <w:sz w:val="19"/>
          <w:szCs w:val="19"/>
        </w:rPr>
        <w:t xml:space="preserve">Ce qui s'impose à l'architecture avant tout choix.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color w:val="6B7A87"/>
          <w:sz w:val="19"/>
          <w:szCs w:val="19"/>
        </w:rPr>
        <w:t xml:space="preserve">Contraintes techniques : socle imposé, versions, référentiels internes, hébergement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color w:val="6B7A87"/>
          <w:sz w:val="19"/>
          <w:szCs w:val="19"/>
        </w:rPr>
        <w:t xml:space="preserve">Exigences de qualité chiffrées : performance, disponibilité, capacité, temps de reprise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color w:val="6B7A87"/>
          <w:sz w:val="19"/>
          <w:szCs w:val="19"/>
        </w:rPr>
        <w:t xml:space="preserve">Contraintes réglementaires et de conformité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color w:val="6B7A87"/>
          <w:sz w:val="19"/>
          <w:szCs w:val="19"/>
        </w:rPr>
        <w:t xml:space="preserve">Contraintes organisationnelles : compétences disponibles, modèle de support</w:t>
      </w:r>
    </w:p>
    <w:p>
      <w:pPr>
        <w:pBdr>
          <w:top w:val="single" w:color="DDE5E8" w:sz="4"/>
          <w:bottom w:val="single" w:color="DDE5E8" w:sz="4"/>
          <w:left w:val="single" w:color="DDE5E8" w:sz="4"/>
          <w:right w:val="single" w:color="DDE5E8" w:sz="4"/>
        </w:pBdr>
        <w:spacing w:after="240" w:before="120"/>
      </w:pPr>
      <w:r>
        <w:rPr>
          <w:color w:val="AAB4BC"/>
          <w:sz w:val="19"/>
          <w:szCs w:val="19"/>
        </w:rPr>
        <w:t xml:space="preserve">[ à compléter ]</w:t>
      </w:r>
    </w:p>
    <w:p>
      <w:pPr>
        <w:pStyle w:val="Heading1"/>
        <w:spacing w:after="60" w:before="320"/>
      </w:pPr>
      <w:r>
        <w:rPr>
          <w:color w:val="101820"/>
        </w:rPr>
        <w:t xml:space="preserve">3. Vue de contexte</w:t>
      </w:r>
    </w:p>
    <w:p>
      <w:pPr>
        <w:spacing w:after="80" w:before="60"/>
      </w:pPr>
      <w:r>
        <w:rPr>
          <w:i/>
          <w:iCs/>
          <w:color w:val="6B7A87"/>
          <w:sz w:val="19"/>
          <w:szCs w:val="19"/>
        </w:rPr>
        <w:t xml:space="preserve">La solution vue de l'extérieur, avec ses voisins (niveau 1 du modèle C4).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color w:val="6B7A87"/>
          <w:sz w:val="19"/>
          <w:szCs w:val="19"/>
        </w:rPr>
        <w:t xml:space="preserve">Schéma de contexte : systèmes amont, aval, acteurs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color w:val="6B7A87"/>
          <w:sz w:val="19"/>
          <w:szCs w:val="19"/>
        </w:rPr>
        <w:t xml:space="preserve">Pour chaque interface : nature, protocole, sens, fréquence, volumétrie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color w:val="6B7A87"/>
          <w:sz w:val="19"/>
          <w:szCs w:val="19"/>
        </w:rPr>
        <w:t xml:space="preserve">Responsabilités : ce que porte la solution, ce que portent les systèmes voisins</w:t>
      </w:r>
    </w:p>
    <w:p>
      <w:pPr>
        <w:pBdr>
          <w:top w:val="single" w:color="DDE5E8" w:sz="4"/>
          <w:bottom w:val="single" w:color="DDE5E8" w:sz="4"/>
          <w:left w:val="single" w:color="DDE5E8" w:sz="4"/>
          <w:right w:val="single" w:color="DDE5E8" w:sz="4"/>
        </w:pBdr>
        <w:spacing w:after="240" w:before="120"/>
      </w:pPr>
      <w:r>
        <w:rPr>
          <w:color w:val="AAB4BC"/>
          <w:sz w:val="19"/>
          <w:szCs w:val="19"/>
        </w:rPr>
        <w:t xml:space="preserve">[ à compléter ]</w:t>
      </w:r>
    </w:p>
    <w:p>
      <w:pPr>
        <w:pStyle w:val="Heading1"/>
        <w:spacing w:after="60" w:before="320"/>
      </w:pPr>
      <w:r>
        <w:rPr>
          <w:color w:val="101820"/>
        </w:rPr>
        <w:t xml:space="preserve">4. Vue applicative</w:t>
      </w:r>
    </w:p>
    <w:p>
      <w:pPr>
        <w:spacing w:after="80" w:before="60"/>
      </w:pPr>
      <w:r>
        <w:rPr>
          <w:i/>
          <w:iCs/>
          <w:color w:val="6B7A87"/>
          <w:sz w:val="19"/>
          <w:szCs w:val="19"/>
        </w:rPr>
        <w:t xml:space="preserve">Le découpage interne en composants et leurs responsabilités (niveaux 2 et 3 du C4).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color w:val="6B7A87"/>
          <w:sz w:val="19"/>
          <w:szCs w:val="19"/>
        </w:rPr>
        <w:t xml:space="preserve">Schéma des conteneurs applicatifs et des composants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color w:val="6B7A87"/>
          <w:sz w:val="19"/>
          <w:szCs w:val="19"/>
        </w:rPr>
        <w:t xml:space="preserve">Responsabilité de chaque composant, en une phrase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color w:val="6B7A87"/>
          <w:sz w:val="19"/>
          <w:szCs w:val="19"/>
        </w:rPr>
        <w:t xml:space="preserve">Technologies et versions retenues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color w:val="6B7A87"/>
          <w:sz w:val="19"/>
          <w:szCs w:val="19"/>
        </w:rPr>
        <w:t xml:space="preserve">Dépendances internes et externes</w:t>
      </w:r>
    </w:p>
    <w:p>
      <w:pPr>
        <w:pBdr>
          <w:top w:val="single" w:color="DDE5E8" w:sz="4"/>
          <w:bottom w:val="single" w:color="DDE5E8" w:sz="4"/>
          <w:left w:val="single" w:color="DDE5E8" w:sz="4"/>
          <w:right w:val="single" w:color="DDE5E8" w:sz="4"/>
        </w:pBdr>
        <w:spacing w:after="240" w:before="120"/>
      </w:pPr>
      <w:r>
        <w:rPr>
          <w:color w:val="AAB4BC"/>
          <w:sz w:val="19"/>
          <w:szCs w:val="19"/>
        </w:rPr>
        <w:t xml:space="preserve">[ à compléter ]</w:t>
      </w:r>
    </w:p>
    <w:p>
      <w:pPr>
        <w:pStyle w:val="Heading1"/>
        <w:spacing w:after="60" w:before="320"/>
      </w:pPr>
      <w:r>
        <w:rPr>
          <w:color w:val="101820"/>
        </w:rPr>
        <w:t xml:space="preserve">5. Vue des données</w:t>
      </w:r>
    </w:p>
    <w:p>
      <w:pPr>
        <w:spacing w:after="80" w:before="60"/>
      </w:pPr>
      <w:r>
        <w:rPr>
          <w:i/>
          <w:iCs/>
          <w:color w:val="6B7A87"/>
          <w:sz w:val="19"/>
          <w:szCs w:val="19"/>
        </w:rPr>
        <w:t xml:space="preserve">Où vivent les données, sous quelle forme, et qui en est propriétaire.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color w:val="6B7A87"/>
          <w:sz w:val="19"/>
          <w:szCs w:val="19"/>
        </w:rPr>
        <w:t xml:space="preserve">Modèle physique et volumétries par entité, à trois ans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color w:val="6B7A87"/>
          <w:sz w:val="19"/>
          <w:szCs w:val="19"/>
        </w:rPr>
        <w:t xml:space="preserve">Stockages : bases, systèmes de fichiers, files, caches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color w:val="6B7A87"/>
          <w:sz w:val="19"/>
          <w:szCs w:val="19"/>
        </w:rPr>
        <w:t xml:space="preserve">Cycle de vie : rétention, archivage, purge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color w:val="6B7A87"/>
          <w:sz w:val="19"/>
          <w:szCs w:val="19"/>
        </w:rPr>
        <w:t xml:space="preserve">Classification des données et présence de données personnelles</w:t>
      </w:r>
    </w:p>
    <w:p>
      <w:pPr>
        <w:pBdr>
          <w:top w:val="single" w:color="DDE5E8" w:sz="4"/>
          <w:bottom w:val="single" w:color="DDE5E8" w:sz="4"/>
          <w:left w:val="single" w:color="DDE5E8" w:sz="4"/>
          <w:right w:val="single" w:color="DDE5E8" w:sz="4"/>
        </w:pBdr>
        <w:spacing w:after="240" w:before="120"/>
      </w:pPr>
      <w:r>
        <w:rPr>
          <w:color w:val="AAB4BC"/>
          <w:sz w:val="19"/>
          <w:szCs w:val="19"/>
        </w:rPr>
        <w:t xml:space="preserve">[ à compléter ]</w:t>
      </w:r>
    </w:p>
    <w:p>
      <w:pPr>
        <w:pStyle w:val="Heading1"/>
        <w:spacing w:after="60" w:before="320"/>
      </w:pPr>
      <w:r>
        <w:rPr>
          <w:color w:val="101820"/>
        </w:rPr>
        <w:t xml:space="preserve">6. Vue des flux et intégration</w:t>
      </w:r>
    </w:p>
    <w:p>
      <w:pPr>
        <w:spacing w:after="80" w:before="60"/>
      </w:pPr>
      <w:r>
        <w:rPr>
          <w:i/>
          <w:iCs/>
          <w:color w:val="6B7A87"/>
          <w:sz w:val="19"/>
          <w:szCs w:val="19"/>
        </w:rPr>
        <w:t xml:space="preserve">Le détail de chaque échange, en tant que contrat d'interface.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color w:val="6B7A87"/>
          <w:sz w:val="19"/>
          <w:szCs w:val="19"/>
        </w:rPr>
        <w:t xml:space="preserve">Fiche par flux : source, cible, format, protocole, fréquence, volumétrie, fenêtre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color w:val="6B7A87"/>
          <w:sz w:val="19"/>
          <w:szCs w:val="19"/>
        </w:rPr>
        <w:t xml:space="preserve">Mode de transport et sécurisation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color w:val="6B7A87"/>
          <w:sz w:val="19"/>
          <w:szCs w:val="19"/>
        </w:rPr>
        <w:t xml:space="preserve">Gestion des rejets, des relances, et des traitements qu'on peut relancer sans créer de doublon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color w:val="6B7A87"/>
          <w:sz w:val="19"/>
          <w:szCs w:val="19"/>
        </w:rPr>
        <w:t xml:space="preserve">Ordonnancement et dépendances entre traitements</w:t>
      </w:r>
    </w:p>
    <w:p>
      <w:pPr>
        <w:pBdr>
          <w:top w:val="single" w:color="DDE5E8" w:sz="4"/>
          <w:bottom w:val="single" w:color="DDE5E8" w:sz="4"/>
          <w:left w:val="single" w:color="DDE5E8" w:sz="4"/>
          <w:right w:val="single" w:color="DDE5E8" w:sz="4"/>
        </w:pBdr>
        <w:spacing w:after="240" w:before="120"/>
      </w:pPr>
      <w:r>
        <w:rPr>
          <w:color w:val="AAB4BC"/>
          <w:sz w:val="19"/>
          <w:szCs w:val="19"/>
        </w:rPr>
        <w:t xml:space="preserve">[ à compléter ]</w:t>
      </w:r>
    </w:p>
    <w:p>
      <w:pPr>
        <w:pStyle w:val="Heading1"/>
        <w:spacing w:after="60" w:before="320"/>
      </w:pPr>
      <w:r>
        <w:rPr>
          <w:color w:val="101820"/>
        </w:rPr>
        <w:t xml:space="preserve">7. Vue infrastructure et déploiement</w:t>
      </w:r>
    </w:p>
    <w:p>
      <w:pPr>
        <w:spacing w:after="80" w:before="60"/>
      </w:pPr>
      <w:r>
        <w:rPr>
          <w:i/>
          <w:iCs/>
          <w:color w:val="6B7A87"/>
          <w:sz w:val="19"/>
          <w:szCs w:val="19"/>
        </w:rPr>
        <w:t xml:space="preserve">Où ça tourne, sur quoi, et comment ça y arrive.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color w:val="6B7A87"/>
          <w:sz w:val="19"/>
          <w:szCs w:val="19"/>
        </w:rPr>
        <w:t xml:space="preserve">Schéma de déploiement par environnement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color w:val="6B7A87"/>
          <w:sz w:val="19"/>
          <w:szCs w:val="19"/>
        </w:rPr>
        <w:t xml:space="preserve">Dimensionnement : CPU, mémoire, stockage, réseau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color w:val="6B7A87"/>
          <w:sz w:val="19"/>
          <w:szCs w:val="19"/>
        </w:rPr>
        <w:t xml:space="preserve">Environnements : développement, intégration, recette, préproduction, production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color w:val="6B7A87"/>
          <w:sz w:val="19"/>
          <w:szCs w:val="19"/>
        </w:rPr>
        <w:t xml:space="preserve">Chaîne de livraison : build, versionnement, déploiement, retour arrière</w:t>
      </w:r>
    </w:p>
    <w:p>
      <w:pPr>
        <w:pBdr>
          <w:top w:val="single" w:color="DDE5E8" w:sz="4"/>
          <w:bottom w:val="single" w:color="DDE5E8" w:sz="4"/>
          <w:left w:val="single" w:color="DDE5E8" w:sz="4"/>
          <w:right w:val="single" w:color="DDE5E8" w:sz="4"/>
        </w:pBdr>
        <w:spacing w:after="240" w:before="120"/>
      </w:pPr>
      <w:r>
        <w:rPr>
          <w:color w:val="AAB4BC"/>
          <w:sz w:val="19"/>
          <w:szCs w:val="19"/>
        </w:rPr>
        <w:t xml:space="preserve">[ à compléter ]</w:t>
      </w:r>
    </w:p>
    <w:p>
      <w:pPr>
        <w:pStyle w:val="Heading1"/>
        <w:spacing w:after="60" w:before="320"/>
      </w:pPr>
      <w:r>
        <w:rPr>
          <w:color w:val="101820"/>
        </w:rPr>
        <w:t xml:space="preserve">8. Sécurité</w:t>
      </w:r>
    </w:p>
    <w:p>
      <w:pPr>
        <w:spacing w:after="80" w:before="60"/>
      </w:pPr>
      <w:r>
        <w:rPr>
          <w:i/>
          <w:iCs/>
          <w:color w:val="6B7A87"/>
          <w:sz w:val="19"/>
          <w:szCs w:val="19"/>
        </w:rPr>
        <w:t xml:space="preserve">La réponse aux exigences de sécurité, pas une déclaration d'intention.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color w:val="6B7A87"/>
          <w:sz w:val="19"/>
          <w:szCs w:val="19"/>
        </w:rPr>
        <w:t xml:space="preserve">Authentification et gestion des identités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color w:val="6B7A87"/>
          <w:sz w:val="19"/>
          <w:szCs w:val="19"/>
        </w:rPr>
        <w:t xml:space="preserve">Habilitations et cloisonnement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color w:val="6B7A87"/>
          <w:sz w:val="19"/>
          <w:szCs w:val="19"/>
        </w:rPr>
        <w:t xml:space="preserve">Chiffrement en transit et au repos, gestion des secrets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color w:val="6B7A87"/>
          <w:sz w:val="19"/>
          <w:szCs w:val="19"/>
        </w:rPr>
        <w:t xml:space="preserve">Journalisation, traçabilité, conservation des traces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color w:val="6B7A87"/>
          <w:sz w:val="19"/>
          <w:szCs w:val="19"/>
        </w:rPr>
        <w:t xml:space="preserve">Flux réseau ouverts, avec justification de chacun</w:t>
      </w:r>
    </w:p>
    <w:p>
      <w:pPr>
        <w:pBdr>
          <w:top w:val="single" w:color="DDE5E8" w:sz="4"/>
          <w:bottom w:val="single" w:color="DDE5E8" w:sz="4"/>
          <w:left w:val="single" w:color="DDE5E8" w:sz="4"/>
          <w:right w:val="single" w:color="DDE5E8" w:sz="4"/>
        </w:pBdr>
        <w:spacing w:after="240" w:before="120"/>
      </w:pPr>
      <w:r>
        <w:rPr>
          <w:color w:val="AAB4BC"/>
          <w:sz w:val="19"/>
          <w:szCs w:val="19"/>
        </w:rPr>
        <w:t xml:space="preserve">[ à compléter ]</w:t>
      </w:r>
    </w:p>
    <w:p>
      <w:pPr>
        <w:pStyle w:val="Heading1"/>
        <w:spacing w:after="60" w:before="320"/>
      </w:pPr>
      <w:r>
        <w:rPr>
          <w:color w:val="101820"/>
        </w:rPr>
        <w:t xml:space="preserve">9. Disponibilité et continuité</w:t>
      </w:r>
    </w:p>
    <w:p>
      <w:pPr>
        <w:spacing w:after="80" w:before="60"/>
      </w:pPr>
      <w:r>
        <w:rPr>
          <w:i/>
          <w:iCs/>
          <w:color w:val="6B7A87"/>
          <w:sz w:val="19"/>
          <w:szCs w:val="19"/>
        </w:rPr>
        <w:t xml:space="preserve">Le comportement attendu quand un composant tombe.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color w:val="6B7A87"/>
          <w:sz w:val="19"/>
          <w:szCs w:val="19"/>
        </w:rPr>
        <w:t xml:space="preserve">Redondance et tolérance de panne par composant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color w:val="6B7A87"/>
          <w:sz w:val="19"/>
          <w:szCs w:val="19"/>
        </w:rPr>
        <w:t xml:space="preserve">Objectifs de reprise : perte de données admissible et délai de remise en service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color w:val="6B7A87"/>
          <w:sz w:val="19"/>
          <w:szCs w:val="19"/>
        </w:rPr>
        <w:t xml:space="preserve">Sauvegardes : périmètre, fréquence, rétention, et test de restauration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color w:val="6B7A87"/>
          <w:sz w:val="19"/>
          <w:szCs w:val="19"/>
        </w:rPr>
        <w:t xml:space="preserve">Plan de continuité et bascule</w:t>
      </w:r>
    </w:p>
    <w:p>
      <w:pPr>
        <w:pBdr>
          <w:top w:val="single" w:color="DDE5E8" w:sz="4"/>
          <w:bottom w:val="single" w:color="DDE5E8" w:sz="4"/>
          <w:left w:val="single" w:color="DDE5E8" w:sz="4"/>
          <w:right w:val="single" w:color="DDE5E8" w:sz="4"/>
        </w:pBdr>
        <w:spacing w:after="240" w:before="120"/>
      </w:pPr>
      <w:r>
        <w:rPr>
          <w:color w:val="AAB4BC"/>
          <w:sz w:val="19"/>
          <w:szCs w:val="19"/>
        </w:rPr>
        <w:t xml:space="preserve">[ à compléter ]</w:t>
      </w:r>
    </w:p>
    <w:p>
      <w:pPr>
        <w:pStyle w:val="Heading1"/>
        <w:spacing w:after="60" w:before="320"/>
      </w:pPr>
      <w:r>
        <w:rPr>
          <w:color w:val="101820"/>
        </w:rPr>
        <w:t xml:space="preserve">10. Supervision et exploitabilité</w:t>
      </w:r>
    </w:p>
    <w:p>
      <w:pPr>
        <w:spacing w:after="80" w:before="60"/>
      </w:pPr>
      <w:r>
        <w:rPr>
          <w:i/>
          <w:iCs/>
          <w:color w:val="6B7A87"/>
          <w:sz w:val="19"/>
          <w:szCs w:val="19"/>
        </w:rPr>
        <w:t xml:space="preserve">Ce qui rend la solution pilotable une fois en production.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color w:val="6B7A87"/>
          <w:sz w:val="19"/>
          <w:szCs w:val="19"/>
        </w:rPr>
        <w:t xml:space="preserve">Indicateurs techniques et fonctionnels supervisés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color w:val="6B7A87"/>
          <w:sz w:val="19"/>
          <w:szCs w:val="19"/>
        </w:rPr>
        <w:t xml:space="preserve">Seuils d'alerte et destinataires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color w:val="6B7A87"/>
          <w:sz w:val="19"/>
          <w:szCs w:val="19"/>
        </w:rPr>
        <w:t xml:space="preserve">Journaux produits, format, centralisation, durée de conservation</w:t>
      </w:r>
    </w:p>
    <w:p>
      <w:pPr>
        <w:pBdr>
          <w:top w:val="single" w:color="DDE5E8" w:sz="4"/>
          <w:bottom w:val="single" w:color="DDE5E8" w:sz="4"/>
          <w:left w:val="single" w:color="DDE5E8" w:sz="4"/>
          <w:right w:val="single" w:color="DDE5E8" w:sz="4"/>
        </w:pBdr>
        <w:spacing w:after="240" w:before="120"/>
      </w:pPr>
      <w:r>
        <w:rPr>
          <w:color w:val="AAB4BC"/>
          <w:sz w:val="19"/>
          <w:szCs w:val="19"/>
        </w:rPr>
        <w:t xml:space="preserve">[ à compléter ]</w:t>
      </w:r>
    </w:p>
    <w:p>
      <w:pPr>
        <w:pStyle w:val="Heading1"/>
        <w:spacing w:after="60" w:before="320"/>
      </w:pPr>
      <w:r>
        <w:rPr>
          <w:color w:val="101820"/>
        </w:rPr>
        <w:t xml:space="preserve">11. Décisions d'architecture</w:t>
      </w:r>
    </w:p>
    <w:p>
      <w:pPr>
        <w:spacing w:after="80" w:before="60"/>
      </w:pPr>
      <w:r>
        <w:rPr>
          <w:i/>
          <w:iCs/>
          <w:color w:val="6B7A87"/>
          <w:sz w:val="19"/>
          <w:szCs w:val="19"/>
        </w:rPr>
        <w:t xml:space="preserve">Les choix structurants et leur justification, sous forme de liste renvoyant aux ADR.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color w:val="6B7A87"/>
          <w:sz w:val="19"/>
          <w:szCs w:val="19"/>
        </w:rPr>
        <w:t xml:space="preserve">Décision, options écartées, raison du choix, conséquences acceptées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color w:val="6B7A87"/>
          <w:sz w:val="19"/>
          <w:szCs w:val="19"/>
        </w:rPr>
        <w:t xml:space="preserve">Renvoi vers la fiche ADR détaillée</w:t>
      </w:r>
    </w:p>
    <w:p>
      <w:pPr>
        <w:pBdr>
          <w:top w:val="single" w:color="DDE5E8" w:sz="4"/>
          <w:bottom w:val="single" w:color="DDE5E8" w:sz="4"/>
          <w:left w:val="single" w:color="DDE5E8" w:sz="4"/>
          <w:right w:val="single" w:color="DDE5E8" w:sz="4"/>
        </w:pBdr>
        <w:spacing w:after="240" w:before="120"/>
      </w:pPr>
      <w:r>
        <w:rPr>
          <w:color w:val="AAB4BC"/>
          <w:sz w:val="19"/>
          <w:szCs w:val="19"/>
        </w:rPr>
        <w:t xml:space="preserve">[ à compléter ]</w:t>
      </w:r>
    </w:p>
    <w:p>
      <w:pPr>
        <w:pStyle w:val="Heading1"/>
        <w:spacing w:after="60" w:before="320"/>
      </w:pPr>
      <w:r>
        <w:rPr>
          <w:color w:val="101820"/>
        </w:rPr>
        <w:t xml:space="preserve">12. Risques techniques et dette assumée</w:t>
      </w:r>
    </w:p>
    <w:p>
      <w:pPr>
        <w:spacing w:after="80" w:before="60"/>
      </w:pPr>
      <w:r>
        <w:rPr>
          <w:i/>
          <w:iCs/>
          <w:color w:val="6B7A87"/>
          <w:sz w:val="19"/>
          <w:szCs w:val="19"/>
        </w:rPr>
        <w:t xml:space="preserve">Ce qu'on sait imparfait et qu'on assume, plutôt que de le laisser découvrir.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color w:val="6B7A87"/>
          <w:sz w:val="19"/>
          <w:szCs w:val="19"/>
        </w:rPr>
        <w:t xml:space="preserve">Risque, impact, parade ou surveillance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color w:val="6B7A87"/>
          <w:sz w:val="19"/>
          <w:szCs w:val="19"/>
        </w:rPr>
        <w:t xml:space="preserve">Dette technique acceptée et échéance de traitement</w:t>
      </w:r>
    </w:p>
    <w:p>
      <w:pPr>
        <w:pBdr>
          <w:top w:val="single" w:color="DDE5E8" w:sz="4"/>
          <w:bottom w:val="single" w:color="DDE5E8" w:sz="4"/>
          <w:left w:val="single" w:color="DDE5E8" w:sz="4"/>
          <w:right w:val="single" w:color="DDE5E8" w:sz="4"/>
        </w:pBdr>
        <w:spacing w:after="240" w:before="120"/>
      </w:pPr>
      <w:r>
        <w:rPr>
          <w:color w:val="AAB4BC"/>
          <w:sz w:val="19"/>
          <w:szCs w:val="19"/>
        </w:rPr>
        <w:t xml:space="preserve">[ à compléter ]</w:t>
      </w:r>
    </w:p>
    <w:p>
      <w:pPr>
        <w:pStyle w:val="Heading1"/>
        <w:spacing w:after="60" w:before="320"/>
      </w:pPr>
      <w:r>
        <w:rPr>
          <w:color w:val="101820"/>
        </w:rPr>
        <w:t xml:space="preserve">13. Glossaire technique</w:t>
      </w:r>
    </w:p>
    <w:p>
      <w:pPr>
        <w:spacing w:after="80" w:before="60"/>
      </w:pPr>
      <w:r>
        <w:rPr>
          <w:i/>
          <w:iCs/>
          <w:color w:val="6B7A87"/>
          <w:sz w:val="19"/>
          <w:szCs w:val="19"/>
        </w:rPr>
        <w:t xml:space="preserve">Les termes et sigles propres à la solution.</w:t>
      </w:r>
    </w:p>
    <w:p>
      <w:pPr>
        <w:pBdr>
          <w:top w:val="single" w:color="DDE5E8" w:sz="4"/>
          <w:bottom w:val="single" w:color="DDE5E8" w:sz="4"/>
          <w:left w:val="single" w:color="DDE5E8" w:sz="4"/>
          <w:right w:val="single" w:color="DDE5E8" w:sz="4"/>
        </w:pBdr>
        <w:spacing w:after="240" w:before="120"/>
      </w:pPr>
      <w:r>
        <w:rPr>
          <w:color w:val="AAB4BC"/>
          <w:sz w:val="19"/>
          <w:szCs w:val="19"/>
        </w:rPr>
        <w:t xml:space="preserve">[ à compléter ]</w:t>
      </w:r>
    </w:p>
    <w:p>
      <w:pPr>
        <w:pStyle w:val="Heading1"/>
        <w:pageBreakBefore/>
        <w:spacing w:after="120"/>
      </w:pPr>
      <w:r>
        <w:rPr>
          <w:color w:val="0B7285"/>
        </w:rPr>
        <w:t xml:space="preserve">Notes de rédaction</w:t>
      </w:r>
    </w:p>
    <w:p>
      <w:pPr>
        <w:spacing w:after="160"/>
      </w:pPr>
      <w:r>
        <w:rPr>
          <w:i/>
          <w:iCs/>
          <w:color w:val="6B7A87"/>
          <w:sz w:val="19"/>
          <w:szCs w:val="19"/>
        </w:rPr>
        <w:t xml:space="preserve">Cette page est un aide-mémoire. Supprimez-la avant diffusion du document.</w:t>
      </w:r>
    </w:p>
    <w:p>
      <w:pPr>
        <w:pStyle w:val="Heading2"/>
      </w:pPr>
      <w:r>
        <w:t xml:space="preserve">Quand produire ce document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color w:val="6B7A87"/>
          <w:sz w:val="19"/>
          <w:szCs w:val="19"/>
        </w:rPr>
        <w:t xml:space="preserve">Sur toute solution mise en production dans un SI d'entreprise.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color w:val="6B7A87"/>
          <w:sz w:val="19"/>
          <w:szCs w:val="19"/>
        </w:rPr>
        <w:t xml:space="preserve">Quand la solution consomme ou expose des interfaces vers d'autres systèmes.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color w:val="6B7A87"/>
          <w:sz w:val="19"/>
          <w:szCs w:val="19"/>
        </w:rPr>
        <w:t xml:space="preserve">Avant passage en comité d'architecture ou en validation sécurité.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color w:val="6B7A87"/>
          <w:sz w:val="19"/>
          <w:szCs w:val="19"/>
        </w:rPr>
        <w:t xml:space="preserve">Avant une reprise par une autre équipe, une TMA ou un changement de prestataire.</w:t>
      </w:r>
    </w:p>
    <w:p>
      <w:pPr>
        <w:pStyle w:val="Heading2"/>
        <w:spacing w:before="240"/>
      </w:pPr>
      <w:r>
        <w:t xml:space="preserve">Erreurs les plus fréquentes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color w:val="6B7A87"/>
          <w:sz w:val="19"/>
          <w:szCs w:val="19"/>
        </w:rPr>
        <w:t xml:space="preserve">Documenter le comment sans le pourquoi. Un DAT qui ne consigne pas ses arbitrages perd 80 % de sa valeur dès que ses auteurs quittent le projet.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color w:val="6B7A87"/>
          <w:sz w:val="19"/>
          <w:szCs w:val="19"/>
        </w:rPr>
        <w:t xml:space="preserve">Produire un schéma unique où tout figure. Un schéma répond à une question et à une seule : contexte, composants, déploiement sont trois schémas distincts.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color w:val="6B7A87"/>
          <w:sz w:val="19"/>
          <w:szCs w:val="19"/>
        </w:rPr>
        <w:t xml:space="preserve">Oublier les volumétries et les fenêtres de traitement. C'est ce qui distingue une architecture qui tient en production d'une architecture qui tient en démonstration.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color w:val="6B7A87"/>
          <w:sz w:val="19"/>
          <w:szCs w:val="19"/>
        </w:rPr>
        <w:t xml:space="preserve">Laisser le DAT figé à la fin de la conception. Un DAT non maintenu devient un piège : on s'y fie et il est faux.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color w:val="6B7A87"/>
          <w:sz w:val="19"/>
          <w:szCs w:val="19"/>
        </w:rPr>
        <w:t xml:space="preserve">Traiter la sécurité en annexe. Une revue sécurité tardive est la première cause de report de mise en production.</w:t>
      </w:r>
    </w:p>
    <w:p>
      <w:pPr>
        <w:pStyle w:val="Heading2"/>
        <w:spacing w:before="240"/>
      </w:pPr>
      <w:r>
        <w:t xml:space="preserve">Référentiel de rattachement</w:t>
      </w:r>
    </w:p>
    <w:p>
      <w:pPr>
        <w:spacing w:after="120"/>
      </w:pPr>
      <w:r>
        <w:rPr>
          <w:b/>
          <w:bCs/>
          <w:sz w:val="19"/>
          <w:szCs w:val="19"/>
        </w:rPr>
        <w:t xml:space="preserve">arc42 et modèle C4</w:t>
      </w:r>
      <w:r>
        <w:rPr>
          <w:color w:val="6B7A87"/>
          <w:sz w:val="19"/>
          <w:szCs w:val="19"/>
        </w:rPr>
        <w:t xml:space="preserve"> arc42 fournit le plan de référence d'une documentation d'architecture (contexte, contraintes, vue des blocs, vue d'exécution, décisions, qualité, risques). Le modèle C4 fournit les niveaux de schéma associés : contexte, conteneurs, composants, code. Le plan ci-dessous combine les deux, avec les rubriques attendues en contexte SI français.</w:t>
      </w:r>
    </w:p>
    <w:p>
      <w:pPr>
        <w:spacing w:before="320"/>
      </w:pPr>
      <w:r>
        <w:rPr>
          <w:color w:val="6B7A87"/>
          <w:sz w:val="18"/>
          <w:szCs w:val="18"/>
        </w:rPr>
        <w:t xml:space="preserve">Modèle « DAT - Dossier d'Architecture Technique », publié par DataALC.</w:t>
      </w:r>
    </w:p>
    <w:p>
      <w:r>
        <w:rPr>
          <w:color w:val="6B7A87"/>
          <w:sz w:val="18"/>
          <w:szCs w:val="18"/>
        </w:rPr>
        <w:t xml:space="preserve">Version en ligne, commentée : https://www.dataalc.com/boite-a-outils/templates/dat/</w:t>
      </w:r>
    </w:p>
    <w:p>
      <w:pPr>
        <w:spacing w:before="120"/>
      </w:pPr>
      <w:r>
        <w:rPr>
          <w:i/>
          <w:iCs/>
          <w:color w:val="6B7A87"/>
          <w:sz w:val="18"/>
          <w:szCs w:val="18"/>
        </w:rPr>
        <w:t xml:space="preserve">Adaptez ce modèle à votre contexte : supprimez les rubriques sans objet plutôt que de les laisser vides.</w:t>
      </w:r>
    </w:p>
    <w:sectPr>
      <w:footerReference w:type="default" r:id="rId7"/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color w:val="6B7A87"/>
        <w:sz w:val="16"/>
        <w:szCs w:val="16"/>
      </w:rPr>
      <w:t xml:space="preserve">Dossier d'Architecture Technique  |  </w:t>
    </w:r>
    <w:r>
      <w:rPr>
        <w:color w:val="6B7A87"/>
        <w:sz w:val="16"/>
        <w:szCs w:val="16"/>
      </w:rPr>
      <w:fldChar w:fldCharType="begin"/>
      <w:instrText xml:space="preserve">PAGE</w:instrText>
      <w:fldChar w:fldCharType="separate"/>
      <w:fldChar w:fldCharType="end"/>
    </w:r>
    <w:r>
      <w:rPr>
        <w:color w:val="6B7A87"/>
        <w:sz w:val="16"/>
        <w:szCs w:val="16"/>
      </w:rPr>
      <w:t xml:space="preserve"> / </w:t>
    </w:r>
    <w:r>
      <w:rPr>
        <w:color w:val="6B7A87"/>
        <w:sz w:val="16"/>
        <w:szCs w:val="16"/>
      </w:rPr>
      <w:fldChar w:fldCharType="begin"/>
      <w:instrText xml:space="preserve">NUMPAGES</w:instrText>
      <w:fldChar w:fldCharType="separate"/>
      <w:fldChar w:fldCharType="end"/>
    </w:r>
    <w:r>
      <w:rPr>
        <w:color w:val="6B7A87"/>
        <w:sz w:val="16"/>
        <w:szCs w:val="16"/>
      </w:rPr>
      <w:t xml:space="preserve">  |  dataalc.com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Dossier d'Architecture Technique</dc:title>
  <dc:creator>DataALC</dc:creator>
  <dc:description>La traduction technique de la cible fonctionnelle : composants, flux, infrastructure, sécurité, et les décisions qui les expliquent.</dc:description>
  <cp:lastModifiedBy>Un-named</cp:lastModifiedBy>
  <cp:revision>1</cp:revision>
  <dcterms:created xsi:type="dcterms:W3CDTF">2026-08-01T20:05:15.306Z</dcterms:created>
  <dcterms:modified xsi:type="dcterms:W3CDTF">2026-08-01T20:05:15.306Z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