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RECETTE &amp; QUALITÉ</w:t>
      </w:r>
    </w:p>
    <w:p>
      <w:pPr>
        <w:pStyle w:val="Title"/>
      </w:pPr>
      <w:r>
        <w:t xml:space="preserve">Plan de tests et cahier de recette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La stratégie de test et les cas exécutés : ce qui est testé, par qui, sur quelles données, et ce qui autorise la mise en production.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MOA / recetteur, avec la MOE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Métier, MOE, chef de projet, comité de pilotage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Périmètre de la recette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est testé et ce qui ne le sera pas, avec le risque assumé.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Fonctions, flux et interfaces couverts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Exclusions explicites et justification du risque accepté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Versions et lots concernés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Niveaux et types de tests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Qui teste quoi, à quel niveau, pour ne pas tester deux fois la même chose.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Tests unitaires et d'intégration : périmètre MOE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Recette fonctionnelle : périmètre MOA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Tests de bout en bout sur les processus complets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Tests de performance et de charge, avec le profil de charge cible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Tests de sécurité et de gestion des habilitations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Tests de non-régression, et périmètre rejoué à chaque livraison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Recette technique : exploitation, reprise sur incident, retour arrière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Environnements et jeux de données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point qui fait glisser la plupart des plannings de recette.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Environnements utilisés et leur représentativité par rapport à la production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Origine des jeux de données et anonymisation des données personnelles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Volumétrie utilisée pour les tests de performance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Procédure de réinitialisation entre deux campagnes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Organisation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Qui fait quoi, quand, avec quel outillage.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Recetteurs désignés par domaine, et charge prévue par personne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Calendrier des campagnes et des livraisons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Outil de suivi des anomalies et circuit de qualification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Cas de test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cœur du cahier de recette. Un cas doit être rejouable par un tiers.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Identifiant, exigence ou BUC couvert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Préconditions et jeu de données de départ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Étapes d'exécution numérotées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Résultat attendu, formulé sans ambiguïté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Résultat obtenu, statut, date, exécutant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Matrice de couverture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preuve que le périmètre contractuel est testé.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Tableau exigence -&gt; cas de test -&gt; statut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Exigences non couvertes et décision associée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Gestion des anomalies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classification décidée avant la campagne, pas pendant.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Grille de sévérité : bloquante, majeure, mineure, cosmétique, avec définition de chacune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Circuit : déclaration, qualification, correction, retest, clôture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Délais de traitement attendus par niveau de sévérité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8. Critères de sortie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règle chiffrée qui autorise la mise en production.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Taux d'exécution et taux de réussite minimum exigés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Aucune anomalie bloquante ouverte, seuil toléré pour les majeures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Anomalies restantes avec contournement documenté et échéance de correction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tout projet dont la mise en production suit une décision formelle de go / no-go.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la recette est confiée à des utilisateurs métier qui n'ont pas suivi la conception.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une migration ou une reprise de données, où la vérification porte sur des volumes et non sur des écrans.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la réception conditionne un paiement ou le démarrage d'une garantie.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Écrire des résultats attendus flous. « Le résultat est correct » n'est pas vérifiable par un tiers, et n'est donc pas un test.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Découvrir les jeux de données en début de campagne. La préparation des données est la première cause de retard en recette, et elle se prépare en amont.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Négocier les critères de sortie le jour du comité de mise en production. Posés avant, ils protègent la décision ; posés après, ils la justifient.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 pas tester les cas d'erreur ni les reprises sur incident. La production les testera à votre place, avec des utilisateurs réels.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Recetter sur des volumes de démonstration. Un traitement validé sur 500 lignes ne dit rien de son comportement sur 5 millions.</w:t>
      </w:r>
    </w:p>
    <w:p>
      <w:pPr>
        <w:pStyle w:val="Heading2"/>
        <w:spacing w:before="240"/>
      </w:pPr>
      <w:r>
        <w:t xml:space="preserve">Référentiel de rattachement</w:t>
      </w:r>
    </w:p>
    <w:p>
      <w:pPr>
        <w:spacing w:after="120"/>
      </w:pPr>
      <w:r>
        <w:rPr>
          <w:b/>
          <w:bCs/>
          <w:sz w:val="19"/>
          <w:szCs w:val="19"/>
        </w:rPr>
        <w:t xml:space="preserve">ISO/IEC/IEEE 29119 (test logiciel)</w:t>
      </w:r>
      <w:r>
        <w:rPr>
          <w:color w:val="6B7A87"/>
          <w:sz w:val="19"/>
          <w:szCs w:val="19"/>
        </w:rPr>
        <w:t xml:space="preserve"> La norme sépare la stratégie de test (les niveaux, les critères d'entrée et de sortie, les risques couverts) de la conception des cas de test. Le plan ci-dessous suit cette séparation, en un seul document pour les projets de taille moyenne.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Plan de tests et cahier de recette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https://www.dataalc.com/boite-a-outils/templates/plan-de-tests/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Plan de tests et cahier de recette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tests et cahier de recette</dc:title>
  <dc:creator>DataALC</dc:creator>
  <dc:description>La stratégie de test et les cas exécutés : ce qui est testé, par qui, sur quelles données, et ce qui autorise la mise en production.</dc:description>
  <cp:lastModifiedBy>Un-named</cp:lastModifiedBy>
  <cp:revision>1</cp:revision>
  <dcterms:created xsi:type="dcterms:W3CDTF">2026-08-01T20:05:15.413Z</dcterms:created>
  <dcterms:modified xsi:type="dcterms:W3CDTF">2026-08-01T20:05:15.413Z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