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RECETTE &amp; QUALITÉ</w:t>
      </w:r>
    </w:p>
    <w:p>
      <w:pPr>
        <w:pStyle w:val="Title"/>
      </w:pPr>
      <w:r>
        <w:t xml:space="preserve">Procès-verbal de recette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L'acte qui constate la réception, déclenche les échéances contractuelles et fige les réserves.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MOA, contresigné par la MOE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Sponsor, achats, juridique, fournisseur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Objet et références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réceptionné, au titre de quel engagement.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Projet, lot, version, périmètre réceptionné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Références contractuelles : marché, bon de commande, jalon concerné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Documents de référence : cahier des charges, SFD, plan de tests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Participants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personnes engagées par la signature.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Représentants MOA, MOE, fournisseur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Qualité et pouvoir de signature de chacun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Date et lieu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Déroulement de la recette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faits de la campagne, pas leur interprétation.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Période d'exécution et environnement utilisé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Nombre de cas prévus, exécutés, réussis, en échec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Écarts par rapport au plan de tests initial et raison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Résultats par domaine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détail par lot ou par domaine fonctionnel.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Taux de couverture et de réussite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Points de vigilance relevés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Anomalies et réserves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section qui engage. Chaque réserve doit être fermable de façon vérifiable.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Anomalies ouvertes, avec sévérité et impact métier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réserve : critère de levée, responsable, date d'échéance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Contournements en vigueur et durée admise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Décision de réception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formulation qui produit l'effet juridique.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Réception prononcée, prononcée avec réserves, ou refusée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Date d'effet et conséquences : jalon de facturation, début de garantie, transfert à l'exploitation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Conditions de levée des réserves et date de PV complémentaire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Signatures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signatures des parties et la date.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À la fin de chaque campagne de recette conditionnant un jalon contractuel.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À la réception de chaque lot livré par un fournisseur externe.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 VABF puis en VSR, quand le contrat prévoit les deux étapes.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À la clôture d'un projet interne, pour acter le transfert vers l'exploitation.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Prononcer une réception avec des réserves sans échéance. Les réserves sans date ne sont jamais levées, et la garantie court quand même.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Signer un PV sans annexer la liste précise des anomalies. Le litige ultérieur porte toujours sur le périmètre exact de ce qui a été accepté.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Confondre VABF et VSR. La première constate la conformité fonctionnelle, la seconde la stabilité en exploitation réelle. Les fusionner supprime la période d'observation.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Faire signer par une personne sans délégation. Un PV signé par le chef de projet seul n'engage pas toujours l'organisation.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PV - Procès-verbal de recette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https://www.dataalc.com/boite-a-outils/templates/pv-de-recette/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Procès-verbal de recette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de recette</dc:title>
  <dc:creator>DataALC</dc:creator>
  <dc:description>L'acte qui constate la réception, déclenche les échéances contractuelles et fige les réserves.</dc:description>
  <cp:lastModifiedBy>Un-named</cp:lastModifiedBy>
  <cp:revision>1</cp:revision>
  <dcterms:created xsi:type="dcterms:W3CDTF">2026-08-01T20:05:15.451Z</dcterms:created>
  <dcterms:modified xsi:type="dcterms:W3CDTF">2026-08-01T20:05:15.451Z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