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PILOTAGE &amp; GOUVERNANCE</w:t>
      </w:r>
    </w:p>
    <w:p>
      <w:pPr>
        <w:pStyle w:val="Title"/>
      </w:pPr>
      <w:r>
        <w:t xml:space="preserve">Registre des risques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Les risques identifiés, cotés, affectés à un porteur nommé, avec une parade et une date de revue.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Chef de projet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Comité de pilotage, équipe projet, sponsor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Échelles de cotation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barèmes définis avant la première cotation, pour rester comparable dans le temps.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Échelle de probabilité, avec une définition par niveau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Échelle d'impact : coût, délai, qualité, image, conformité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 de calcul de la criticité et seuils déclenchant une escalade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Registre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Une ligne par risque, tenue à jour.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Identifiant et date d'identification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Description formulée en cause, événement, conséquence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Catégorie : technique, organisationnel, humain, fournisseur, réglementaire, données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Probabilité, impact, criticité résultante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Porteur nommé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Stratégie retenue : éviter, réduire, transférer, accepter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Actions de réduction, avec responsable et échéance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Criticité résiduelle après action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Statut et date de dernière revue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Risques majeurs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sous-ensemble présenté au comité de pilotage.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Les cinq à dix risques les plus critiques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Évolution depuis la revue précédente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Décisions ou arbitrages attendus du comité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Risques clos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risques éteints, conservés avec leur motif de clôture.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Motif : risque survenu, risque disparu, échéance passée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Enseignement à conserver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Gouvernance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Comment le registre vit.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Fréquence de revue et instance concernée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Circuit d'ajout d'un risque en cours de projet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Seuil de criticité déclenchant une remontée au sponsor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tout projet dépassant quelques semaines ou impliquant un budget engagé.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 revue à chaque comité de pilotage, comme point d'ordre du jour permanent.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Lors d'un changement de contexte : nouveau fournisseur, changement de périmètre, départ d'un profil clé.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 reprise d'un projet en difficulté, comme premier exercice de diagnostic.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Formuler un risque comme un constat. « Le planning est tendu » ne se traite pas ; « le retard de livraison de l'environnement de recette, dû à la charge de l'équipe infrastructure, décale la campagne de trois semaines » se traite.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Coter sans définir les échelles. Les cotations deviennent alors incomparables d'une revue à l'autre et d'une personne à l'autre.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Laisser un risque sans porteur nommé. Un risque porté par « le projet » n'est suivi par personne.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Confondre risque et problème. Un événement déjà survenu ne se cote plus, il se traite dans le suivi d'actions.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jamais clore de risque. Un registre qui ne fait que grossir cesse d'être lu.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Registre des risques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https://www.dataalc.com/boite-a-outils/templates/registre-des-risques/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Registre des risques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 des risques</dc:title>
  <dc:creator>DataALC</dc:creator>
  <dc:description>Les risques identifiés, cotés, affectés à un porteur nommé, avec une parade et une date de revue.</dc:description>
  <cp:lastModifiedBy>Un-named</cp:lastModifiedBy>
  <cp:revision>1</cp:revision>
  <dcterms:created xsi:type="dcterms:W3CDTF">2026-08-01T20:05:15.612Z</dcterms:created>
  <dcterms:modified xsi:type="dcterms:W3CDTF">2026-08-01T20:05:15.612Z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